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64" w:rsidRDefault="00055064">
      <w:pPr>
        <w:framePr w:wrap="none" w:vAnchor="page" w:hAnchor="page" w:x="1151" w:y="737"/>
        <w:rPr>
          <w:sz w:val="2"/>
          <w:szCs w:val="2"/>
        </w:rPr>
      </w:pPr>
      <w:r w:rsidRPr="00DA75A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1.25pt;height:65.25pt;visibility:visible">
            <v:imagedata r:id="rId7" o:title=""/>
          </v:shape>
        </w:pict>
      </w:r>
    </w:p>
    <w:p w:rsidR="00055064" w:rsidRDefault="00055064">
      <w:pPr>
        <w:pStyle w:val="4"/>
        <w:framePr w:w="6384" w:h="519" w:hRule="exact" w:wrap="none" w:vAnchor="page" w:hAnchor="page" w:x="2980" w:y="1473"/>
        <w:shd w:val="clear" w:color="auto" w:fill="auto"/>
        <w:spacing w:after="0"/>
        <w:ind w:left="80"/>
      </w:pPr>
      <w:r>
        <w:rPr>
          <w:rStyle w:val="1"/>
          <w:lang w:eastAsia="ru-RU"/>
        </w:rPr>
        <w:t>ОБЩЕСТВО С ОГРАНИЧЕННОЙ ОТВЕТСТВЕННОСТЬЮ «ДЖИ ДИНАМИКА»</w:t>
      </w:r>
    </w:p>
    <w:p w:rsidR="00055064" w:rsidRDefault="00055064">
      <w:pPr>
        <w:pStyle w:val="21"/>
        <w:framePr w:w="6384" w:h="1343" w:hRule="exact" w:wrap="none" w:vAnchor="page" w:hAnchor="page" w:x="2980" w:y="6389"/>
        <w:shd w:val="clear" w:color="auto" w:fill="auto"/>
        <w:spacing w:before="0" w:after="0"/>
        <w:ind w:left="80"/>
      </w:pPr>
      <w:r>
        <w:rPr>
          <w:rStyle w:val="20"/>
          <w:b/>
          <w:bCs/>
          <w:lang w:eastAsia="ru-RU"/>
        </w:rPr>
        <w:t>Утверждаемая часть схемы теплоснабжения села Согорное Согорнского сельсовета Доволенского района Новосибирской области на 2018-2022 годы и период до 2032 года</w:t>
      </w:r>
    </w:p>
    <w:p w:rsidR="00055064" w:rsidRDefault="00055064">
      <w:pPr>
        <w:framePr w:wrap="none" w:vAnchor="page" w:hAnchor="page" w:x="3872" w:y="8609"/>
        <w:rPr>
          <w:sz w:val="2"/>
          <w:szCs w:val="2"/>
        </w:rPr>
      </w:pPr>
      <w:r w:rsidRPr="00DA75AA">
        <w:rPr>
          <w:noProof/>
        </w:rPr>
        <w:pict>
          <v:shape id="Рисунок 2" o:spid="_x0000_i1026" type="#_x0000_t75" style="width:209.25pt;height:257.25pt;visibility:visible">
            <v:imagedata r:id="rId8" o:title=""/>
          </v:shape>
        </w:pict>
      </w:r>
    </w:p>
    <w:p w:rsidR="00055064" w:rsidRDefault="00055064">
      <w:pPr>
        <w:pStyle w:val="a1"/>
        <w:framePr w:w="2261" w:h="539" w:hRule="exact" w:wrap="none" w:vAnchor="page" w:hAnchor="page" w:x="4928" w:y="15939"/>
        <w:shd w:val="clear" w:color="auto" w:fill="auto"/>
        <w:spacing w:after="18" w:line="200" w:lineRule="exact"/>
        <w:ind w:left="20"/>
      </w:pPr>
      <w:r>
        <w:t>с.Согорное</w:t>
      </w:r>
    </w:p>
    <w:p w:rsidR="00055064" w:rsidRDefault="00055064">
      <w:pPr>
        <w:pStyle w:val="a1"/>
        <w:framePr w:w="2261" w:h="539" w:hRule="exact" w:wrap="none" w:vAnchor="page" w:hAnchor="page" w:x="4928" w:y="15939"/>
        <w:shd w:val="clear" w:color="auto" w:fill="auto"/>
        <w:spacing w:after="0" w:line="200" w:lineRule="exact"/>
        <w:ind w:left="20"/>
      </w:pP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055064" w:rsidRDefault="00055064" w:rsidP="005D77DF">
      <w:pPr>
        <w:jc w:val="center"/>
        <w:rPr>
          <w:sz w:val="2"/>
          <w:szCs w:val="2"/>
        </w:rPr>
        <w:sectPr w:rsidR="0005506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TitleChar1"/>
          <w:rFonts w:cs="Courier New"/>
        </w:rPr>
        <w:t>ПРОЕКТ</w:t>
      </w:r>
    </w:p>
    <w:p w:rsidR="00055064" w:rsidRDefault="00055064">
      <w:pPr>
        <w:framePr w:wrap="none" w:vAnchor="page" w:hAnchor="page" w:x="1539" w:y="840"/>
        <w:rPr>
          <w:sz w:val="2"/>
          <w:szCs w:val="2"/>
        </w:rPr>
      </w:pPr>
      <w:r w:rsidRPr="00DA75AA">
        <w:rPr>
          <w:noProof/>
        </w:rPr>
        <w:pict>
          <v:shape id="Рисунок 3" o:spid="_x0000_i1027" type="#_x0000_t75" style="width:71.25pt;height:66.75pt;visibility:visible">
            <v:imagedata r:id="rId9" o:title=""/>
          </v:shape>
        </w:pict>
      </w:r>
    </w:p>
    <w:p w:rsidR="00055064" w:rsidRDefault="00055064" w:rsidP="0073397A">
      <w:pPr>
        <w:pStyle w:val="4"/>
        <w:framePr w:w="10430" w:h="1170" w:hRule="exact" w:wrap="none" w:vAnchor="page" w:hAnchor="page" w:x="1" w:y="841"/>
        <w:shd w:val="clear" w:color="auto" w:fill="auto"/>
        <w:spacing w:after="51" w:line="200" w:lineRule="exact"/>
        <w:ind w:left="2866" w:right="2745"/>
      </w:pPr>
      <w:r>
        <w:t>Общество с ограниченной ответственностью</w:t>
      </w:r>
    </w:p>
    <w:p w:rsidR="00055064" w:rsidRDefault="00055064" w:rsidP="0073397A">
      <w:pPr>
        <w:pStyle w:val="21"/>
        <w:framePr w:w="10430" w:h="1170" w:hRule="exact" w:wrap="none" w:vAnchor="page" w:hAnchor="page" w:x="1" w:y="841"/>
        <w:shd w:val="clear" w:color="auto" w:fill="auto"/>
        <w:spacing w:before="0" w:after="0" w:line="202" w:lineRule="exact"/>
        <w:ind w:left="2866" w:right="2745"/>
      </w:pPr>
      <w:r>
        <w:t>«Джи Динамика»</w:t>
      </w:r>
    </w:p>
    <w:p w:rsidR="00055064" w:rsidRDefault="00055064" w:rsidP="0073397A">
      <w:pPr>
        <w:pStyle w:val="30"/>
        <w:framePr w:w="10430" w:h="1170" w:hRule="exact" w:wrap="none" w:vAnchor="page" w:hAnchor="page" w:x="1" w:y="841"/>
        <w:shd w:val="clear" w:color="auto" w:fill="auto"/>
        <w:ind w:left="2866" w:right="2745"/>
      </w:pPr>
      <w:r>
        <w:t>195009, Санкт-Петербург, ул. Комсомола, д.41, лит .А, офис 519</w:t>
      </w:r>
      <w:r>
        <w:br/>
        <w:t>тел./факс (812)33-55-140</w:t>
      </w:r>
    </w:p>
    <w:p w:rsidR="00055064" w:rsidRDefault="00055064" w:rsidP="0073397A">
      <w:pPr>
        <w:pStyle w:val="30"/>
        <w:framePr w:w="10430" w:h="1170" w:hRule="exact" w:wrap="none" w:vAnchor="page" w:hAnchor="page" w:x="1" w:y="841"/>
        <w:shd w:val="clear" w:color="auto" w:fill="auto"/>
        <w:ind w:left="2866" w:right="2745"/>
      </w:pPr>
      <w:r>
        <w:t>ИНН/КПП 7804481441/780401001 ОГРН 1127847145370</w:t>
      </w:r>
    </w:p>
    <w:p w:rsidR="00055064" w:rsidRDefault="00055064" w:rsidP="0073397A">
      <w:pPr>
        <w:pStyle w:val="4"/>
        <w:framePr w:w="10430" w:h="993" w:hRule="exact" w:wrap="none" w:vAnchor="page" w:hAnchor="page" w:x="1498" w:y="2206"/>
        <w:shd w:val="clear" w:color="auto" w:fill="auto"/>
        <w:spacing w:after="0" w:line="312" w:lineRule="exact"/>
        <w:ind w:right="520"/>
        <w:jc w:val="left"/>
      </w:pPr>
      <w:r>
        <w:t xml:space="preserve">                                                                                                                              Заказчик:</w:t>
      </w:r>
    </w:p>
    <w:p w:rsidR="00055064" w:rsidRDefault="00055064" w:rsidP="0073397A">
      <w:pPr>
        <w:pStyle w:val="4"/>
        <w:framePr w:w="10430" w:h="993" w:hRule="exact" w:wrap="none" w:vAnchor="page" w:hAnchor="page" w:x="1498" w:y="2206"/>
        <w:shd w:val="clear" w:color="auto" w:fill="auto"/>
        <w:spacing w:after="0" w:line="312" w:lineRule="exact"/>
        <w:ind w:left="5200" w:right="520"/>
        <w:jc w:val="right"/>
      </w:pPr>
      <w:r>
        <w:t>Администрация Согорнского сельсовета Доволенского района Новосибирской области</w:t>
      </w:r>
    </w:p>
    <w:p w:rsidR="00055064" w:rsidRDefault="00055064">
      <w:pPr>
        <w:pStyle w:val="21"/>
        <w:framePr w:w="10430" w:h="1343" w:hRule="exact" w:wrap="none" w:vAnchor="page" w:hAnchor="page" w:x="752" w:y="6741"/>
        <w:shd w:val="clear" w:color="auto" w:fill="auto"/>
        <w:spacing w:before="0" w:after="0"/>
      </w:pPr>
      <w:r>
        <w:rPr>
          <w:rStyle w:val="20"/>
          <w:b/>
          <w:bCs/>
          <w:lang w:eastAsia="ru-RU"/>
        </w:rPr>
        <w:t>Утверждаемая часть схемы теплоснабжения села Согорное Согорнского сельсовета Доволенского района Новосибирской области на 2018-2022 годы и период до 2032 года</w:t>
      </w:r>
    </w:p>
    <w:p w:rsidR="00055064" w:rsidRDefault="00055064">
      <w:pPr>
        <w:pStyle w:val="4"/>
        <w:framePr w:wrap="none" w:vAnchor="page" w:hAnchor="page" w:x="752" w:y="11414"/>
        <w:shd w:val="clear" w:color="auto" w:fill="auto"/>
        <w:tabs>
          <w:tab w:val="right" w:pos="9410"/>
        </w:tabs>
        <w:spacing w:after="0" w:line="200" w:lineRule="exact"/>
        <w:ind w:left="60"/>
        <w:jc w:val="both"/>
      </w:pPr>
      <w:r>
        <w:t>Генеральный директор</w:t>
      </w:r>
      <w:r>
        <w:tab/>
        <w:t>А. С. Ложкин</w:t>
      </w:r>
    </w:p>
    <w:p w:rsidR="00055064" w:rsidRDefault="00055064">
      <w:pPr>
        <w:pStyle w:val="4"/>
        <w:framePr w:wrap="none" w:vAnchor="page" w:hAnchor="page" w:x="752" w:y="12363"/>
        <w:shd w:val="clear" w:color="auto" w:fill="auto"/>
        <w:tabs>
          <w:tab w:val="right" w:pos="8561"/>
        </w:tabs>
        <w:spacing w:after="0" w:line="200" w:lineRule="exact"/>
        <w:ind w:left="60"/>
        <w:jc w:val="both"/>
      </w:pPr>
      <w:r>
        <w:t>Главный инженер проекта</w:t>
      </w:r>
      <w:r>
        <w:tab/>
        <w:t>К.И. Крашенинников</w:t>
      </w:r>
    </w:p>
    <w:p w:rsidR="00055064" w:rsidRDefault="00055064">
      <w:pPr>
        <w:pStyle w:val="a1"/>
        <w:framePr w:w="2261" w:h="539" w:hRule="exact" w:wrap="none" w:vAnchor="page" w:hAnchor="page" w:x="4875" w:y="15969"/>
        <w:shd w:val="clear" w:color="auto" w:fill="auto"/>
        <w:spacing w:after="0" w:line="200" w:lineRule="exact"/>
        <w:ind w:left="20"/>
      </w:pPr>
      <w:r>
        <w:t>с.Согорное 2018</w:t>
      </w:r>
    </w:p>
    <w:p w:rsidR="00055064" w:rsidRDefault="00055064">
      <w:pPr>
        <w:rPr>
          <w:sz w:val="2"/>
          <w:szCs w:val="2"/>
        </w:rPr>
        <w:sectPr w:rsidR="0005506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5064" w:rsidRDefault="00055064">
      <w:pPr>
        <w:rPr>
          <w:sz w:val="2"/>
          <w:szCs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42.85pt;margin-top:78.6pt;width:509.75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" o:spid="_x0000_s1027" type="#_x0000_t32" style="position:absolute;margin-left:42.85pt;margin-top:78.6pt;width:0;height:196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" o:spid="_x0000_s1028" type="#_x0000_t32" style="position:absolute;margin-left:42.85pt;margin-top:274.65pt;width:509.75pt;height:0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2" o:spid="_x0000_s1029" type="#_x0000_t32" style="position:absolute;margin-left:552.6pt;margin-top:78.6pt;width:0;height:196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055064" w:rsidRDefault="00055064">
      <w:pPr>
        <w:pStyle w:val="a1"/>
        <w:framePr w:wrap="none" w:vAnchor="page" w:hAnchor="page" w:x="4952" w:y="1083"/>
        <w:shd w:val="clear" w:color="auto" w:fill="auto"/>
        <w:spacing w:after="0" w:line="200" w:lineRule="exact"/>
        <w:ind w:left="20"/>
        <w:jc w:val="left"/>
      </w:pPr>
      <w:r>
        <w:t>СОСТАВ ПРОЕКТА</w:t>
      </w:r>
    </w:p>
    <w:p w:rsidR="00055064" w:rsidRDefault="00055064">
      <w:pPr>
        <w:pStyle w:val="4"/>
        <w:framePr w:wrap="none" w:vAnchor="page" w:hAnchor="page" w:x="963" w:y="1581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00" w:lineRule="exact"/>
        <w:ind w:left="340"/>
        <w:jc w:val="both"/>
      </w:pPr>
      <w:r>
        <w:rPr>
          <w:rStyle w:val="22"/>
          <w:lang w:eastAsia="ru-RU"/>
        </w:rPr>
        <w:t>Утверждаемая часть</w:t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spacing w:after="0" w:line="245" w:lineRule="exact"/>
        <w:ind w:right="20"/>
        <w:jc w:val="left"/>
      </w:pPr>
      <w:r>
        <w:t>Раздел 1. Показатели перспективного спроса на тепловую энергию (мощность) и теплоноситель в установленных границах территории поселения, городского округа.</w:t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spacing w:after="0" w:line="259" w:lineRule="exact"/>
        <w:jc w:val="both"/>
      </w:pPr>
      <w:r>
        <w:t>Раздел 2 Перспективные балансы тепловой мощности источников тепловой энергии и тепловой нагрузки</w:t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  <w:lang w:eastAsia="ru-RU"/>
        </w:rPr>
        <w:t>потребителей</w:t>
      </w:r>
      <w:r>
        <w:tab/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  <w:lang w:eastAsia="ru-RU"/>
        </w:rPr>
        <w:t>Раздел 3 Перспективные балансы теплоносителя</w:t>
      </w:r>
      <w:r>
        <w:tab/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spacing w:after="0" w:line="259" w:lineRule="exact"/>
        <w:jc w:val="both"/>
      </w:pPr>
      <w:r>
        <w:t>Раздел 4 Предложения по строительству, реконструкции и техническому перевооружению источников</w:t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  <w:lang w:eastAsia="ru-RU"/>
        </w:rPr>
        <w:t>тепловой энергии</w:t>
      </w:r>
      <w:r>
        <w:tab/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  <w:lang w:eastAsia="ru-RU"/>
        </w:rPr>
        <w:t>Раздел 5. Предложения по строительству и реконструкции тепловых сетей и сооружений на них</w:t>
      </w:r>
      <w:r>
        <w:tab/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  <w:lang w:eastAsia="ru-RU"/>
        </w:rPr>
        <w:t>Раздел 6. Перспективные топливные балансы</w:t>
      </w:r>
      <w:r>
        <w:tab/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  <w:lang w:eastAsia="ru-RU"/>
        </w:rPr>
        <w:t>Раздел 7 Инвестиции в строительство, реконструкцию и техническое перевооружение</w:t>
      </w:r>
      <w:r>
        <w:tab/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  <w:lang w:eastAsia="ru-RU"/>
        </w:rPr>
        <w:t>Раздел 8. Обоснование предложения по определению единой теплоснабжающей организации</w:t>
      </w:r>
      <w:r>
        <w:tab/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  <w:lang w:eastAsia="ru-RU"/>
        </w:rPr>
        <w:t>Раздел 9 Решения о распределении тепловой нагрузки между источниками тепловой энергии</w:t>
      </w:r>
      <w:r>
        <w:tab/>
      </w:r>
    </w:p>
    <w:p w:rsidR="00055064" w:rsidRDefault="00055064">
      <w:pPr>
        <w:pStyle w:val="4"/>
        <w:framePr w:w="10013" w:h="3402" w:hRule="exact" w:wrap="none" w:vAnchor="page" w:hAnchor="page" w:x="963" w:y="1842"/>
        <w:shd w:val="clear" w:color="auto" w:fill="auto"/>
        <w:spacing w:after="0" w:line="259" w:lineRule="exact"/>
        <w:jc w:val="both"/>
      </w:pPr>
      <w:r>
        <w:t>Раздел 10 Решения по бесхозяйным тепловым сетям</w:t>
      </w:r>
    </w:p>
    <w:p w:rsidR="00055064" w:rsidRDefault="00055064">
      <w:pPr>
        <w:pStyle w:val="4"/>
        <w:framePr w:wrap="none" w:vAnchor="page" w:hAnchor="page" w:x="963" w:y="5267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00" w:lineRule="exact"/>
        <w:ind w:left="340"/>
        <w:jc w:val="both"/>
      </w:pPr>
      <w:r>
        <w:rPr>
          <w:rStyle w:val="22"/>
          <w:lang w:eastAsia="ru-RU"/>
        </w:rPr>
        <w:t>Обосновывающие материалы</w:t>
      </w:r>
    </w:p>
    <w:p w:rsidR="00055064" w:rsidRDefault="00055064">
      <w:pPr>
        <w:pStyle w:val="a1"/>
        <w:framePr w:wrap="none" w:vAnchor="page" w:hAnchor="page" w:x="10496" w:y="15539"/>
        <w:shd w:val="clear" w:color="auto" w:fill="auto"/>
        <w:spacing w:after="0" w:line="200" w:lineRule="exact"/>
        <w:ind w:left="20"/>
        <w:jc w:val="left"/>
      </w:pPr>
      <w:r>
        <w:t>3</w:t>
      </w:r>
    </w:p>
    <w:p w:rsidR="00055064" w:rsidRDefault="00055064">
      <w:pPr>
        <w:rPr>
          <w:sz w:val="2"/>
          <w:szCs w:val="2"/>
        </w:rPr>
        <w:sectPr w:rsidR="0005506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5064" w:rsidRDefault="00055064">
      <w:pPr>
        <w:pStyle w:val="4"/>
        <w:framePr w:w="10214" w:h="654" w:hRule="exact" w:wrap="none" w:vAnchor="page" w:hAnchor="page" w:x="860" w:y="1209"/>
        <w:shd w:val="clear" w:color="auto" w:fill="auto"/>
        <w:spacing w:after="138" w:line="200" w:lineRule="exact"/>
      </w:pPr>
      <w:r>
        <w:t>ОГЛАВЛЕНИЕ</w:t>
      </w:r>
    </w:p>
    <w:p w:rsidR="00055064" w:rsidRDefault="00055064">
      <w:pPr>
        <w:pStyle w:val="4"/>
        <w:framePr w:w="10214" w:h="654" w:hRule="exact" w:wrap="none" w:vAnchor="page" w:hAnchor="page" w:x="860" w:y="1209"/>
        <w:shd w:val="clear" w:color="auto" w:fill="auto"/>
        <w:spacing w:after="0" w:line="200" w:lineRule="exact"/>
      </w:pPr>
      <w:r>
        <w:t>Раздел 1. Показатели перспективного спроса на тепловую энергию (мощность) и теплоноситель в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left" w:leader="dot" w:pos="10071"/>
        </w:tabs>
        <w:spacing w:before="0" w:after="56" w:line="200" w:lineRule="exact"/>
        <w:ind w:left="20"/>
      </w:pPr>
      <w:r>
        <w:t>установленных границах территории поселения, городского округа</w:t>
      </w:r>
      <w:r>
        <w:tab/>
        <w:t>5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138" w:line="298" w:lineRule="exact"/>
        <w:ind w:left="20" w:right="20"/>
      </w:pPr>
      <w:r>
        <w:t>Раздел 2. Перспективные балансы тепловой мощности источников тепловой энергии и тепловой нагрузки потребителей</w:t>
      </w:r>
      <w:r>
        <w:tab/>
        <w:t>5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left" w:leader="dot" w:pos="10071"/>
        </w:tabs>
        <w:spacing w:before="0" w:after="55" w:line="200" w:lineRule="exact"/>
        <w:ind w:left="20"/>
      </w:pPr>
      <w:r>
        <w:t>Раздел 3. Перспективные балансы теплоносителя</w:t>
      </w:r>
      <w:r>
        <w:tab/>
        <w:t>5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293" w:lineRule="exact"/>
        <w:ind w:left="20" w:right="20"/>
      </w:pPr>
      <w:r>
        <w:t>Раздел 4. Предложения по строительству, реконструкции и техническому перевооружению источников тепловой энергии</w:t>
      </w:r>
      <w:r>
        <w:tab/>
        <w:t>5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5. Предложения по строительству и реконструкции тепловых сетей</w:t>
      </w:r>
      <w:r>
        <w:tab/>
        <w:t>5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6. Перспективные топливные балансы</w:t>
      </w:r>
      <w:r>
        <w:tab/>
        <w:t>6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7. Инвестиции в строительство, реконструкцию и техническое перевооружение</w:t>
      </w:r>
      <w:r>
        <w:tab/>
        <w:t>6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8. Решение об определении единой теплоснабжающей организации</w:t>
      </w:r>
      <w:r>
        <w:tab/>
        <w:t>6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9. Решения о распределении тепловой нагрузки между источниками тепловой энергии</w:t>
      </w:r>
      <w:r>
        <w:tab/>
        <w:t>7</w:t>
      </w:r>
    </w:p>
    <w:p w:rsidR="00055064" w:rsidRDefault="00055064">
      <w:pPr>
        <w:pStyle w:val="a3"/>
        <w:framePr w:w="10214" w:h="4394" w:hRule="exact" w:wrap="none" w:vAnchor="page" w:hAnchor="page" w:x="860" w:y="1890"/>
        <w:shd w:val="clear" w:color="auto" w:fill="auto"/>
        <w:tabs>
          <w:tab w:val="left" w:leader="dot" w:pos="10071"/>
        </w:tabs>
        <w:spacing w:before="0" w:after="0" w:line="389" w:lineRule="exact"/>
        <w:ind w:left="20"/>
      </w:pPr>
      <w:r>
        <w:t>Раздел 10. Решения по бесхозяйным тепловым сетям</w:t>
      </w:r>
      <w:r>
        <w:tab/>
        <w:t>7</w:t>
      </w:r>
    </w:p>
    <w:p w:rsidR="00055064" w:rsidRDefault="00055064">
      <w:pPr>
        <w:pStyle w:val="a1"/>
        <w:framePr w:wrap="none" w:vAnchor="page" w:hAnchor="page" w:x="10926" w:y="15843"/>
        <w:shd w:val="clear" w:color="auto" w:fill="auto"/>
        <w:spacing w:after="0" w:line="200" w:lineRule="exact"/>
        <w:ind w:left="20"/>
        <w:jc w:val="left"/>
      </w:pPr>
      <w:r>
        <w:t>4</w:t>
      </w:r>
    </w:p>
    <w:p w:rsidR="00055064" w:rsidRDefault="00055064">
      <w:pPr>
        <w:rPr>
          <w:sz w:val="2"/>
          <w:szCs w:val="2"/>
        </w:rPr>
        <w:sectPr w:rsidR="0005506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5064" w:rsidRDefault="00055064">
      <w:pPr>
        <w:pStyle w:val="4"/>
        <w:framePr w:w="10445" w:h="6006" w:hRule="exact" w:wrap="none" w:vAnchor="page" w:hAnchor="page" w:x="745" w:y="1175"/>
        <w:shd w:val="clear" w:color="auto" w:fill="auto"/>
        <w:spacing w:after="58" w:line="200" w:lineRule="exact"/>
        <w:ind w:right="60"/>
      </w:pPr>
      <w:r>
        <w:t>ОБЩАЯ ИНФОРМАЦИЯ</w:t>
      </w:r>
    </w:p>
    <w:p w:rsidR="00055064" w:rsidRDefault="00055064">
      <w:pPr>
        <w:pStyle w:val="4"/>
        <w:framePr w:w="10445" w:h="6006" w:hRule="exact" w:wrap="none" w:vAnchor="page" w:hAnchor="page" w:x="745" w:y="1175"/>
        <w:shd w:val="clear" w:color="auto" w:fill="auto"/>
        <w:spacing w:after="176" w:line="312" w:lineRule="exact"/>
        <w:ind w:left="120" w:right="120" w:firstLine="320"/>
        <w:jc w:val="both"/>
      </w:pPr>
      <w:r>
        <w:t xml:space="preserve">Доволенский район расположен в южной части Новосибирской области. Граничит с Краснозерским, Здвинским, Каргатским, Кочковским и Убинским районами области, занимает площадь 4,4 тыс.кв.км. Территория района расположена на расстоянии </w:t>
      </w:r>
      <w:smartTag w:uri="urn:schemas-microsoft-com:office:smarttags" w:element="metricconverter">
        <w:smartTagPr>
          <w:attr w:name="ProductID" w:val="312 км"/>
        </w:smartTagPr>
        <w:r>
          <w:t>312 км</w:t>
        </w:r>
      </w:smartTag>
      <w:r>
        <w:t xml:space="preserve"> от областного центра города Новосибирска и </w:t>
      </w:r>
      <w:smartTag w:uri="urn:schemas-microsoft-com:office:smarttags" w:element="metricconverter">
        <w:smartTagPr>
          <w:attr w:name="ProductID" w:val="107 км"/>
        </w:smartTagPr>
        <w:r>
          <w:t>107 км</w:t>
        </w:r>
      </w:smartTag>
      <w:r>
        <w:t xml:space="preserve"> от ближайшей железнодорожной станции Каргат.</w:t>
      </w:r>
    </w:p>
    <w:p w:rsidR="00055064" w:rsidRDefault="00055064">
      <w:pPr>
        <w:pStyle w:val="4"/>
        <w:framePr w:w="10445" w:h="6006" w:hRule="exact" w:wrap="none" w:vAnchor="page" w:hAnchor="page" w:x="745" w:y="1175"/>
        <w:shd w:val="clear" w:color="auto" w:fill="auto"/>
        <w:spacing w:after="184" w:line="317" w:lineRule="exact"/>
        <w:ind w:left="120" w:right="120" w:firstLine="320"/>
        <w:jc w:val="both"/>
      </w:pPr>
      <w:r>
        <w:t xml:space="preserve">Территория Согорнского сельсовета общей площадью </w:t>
      </w:r>
      <w:smartTag w:uri="urn:schemas-microsoft-com:office:smarttags" w:element="metricconverter">
        <w:smartTagPr>
          <w:attr w:name="ProductID" w:val="328 га"/>
        </w:smartTagPr>
        <w:r>
          <w:t>328 га</w:t>
        </w:r>
      </w:smartTag>
      <w:r>
        <w:t xml:space="preserve">, расположена в юго-западной части Новосибирской области на расстоянии </w:t>
      </w:r>
      <w:smartTag w:uri="urn:schemas-microsoft-com:office:smarttags" w:element="metricconverter">
        <w:smartTagPr>
          <w:attr w:name="ProductID" w:val="265 км"/>
        </w:smartTagPr>
        <w:r>
          <w:t>265 км</w:t>
        </w:r>
      </w:smartTag>
      <w:r>
        <w:t xml:space="preserve"> от областного центра г.Новосибирска, в </w:t>
      </w:r>
      <w:smartTag w:uri="urn:schemas-microsoft-com:office:smarttags" w:element="metricconverter">
        <w:smartTagPr>
          <w:attr w:name="ProductID" w:val="45 км"/>
        </w:smartTagPr>
        <w:r>
          <w:t>45 км</w:t>
        </w:r>
      </w:smartTag>
      <w:r>
        <w:t xml:space="preserve"> от районного центра с. Довольное и в </w:t>
      </w:r>
      <w:smartTag w:uri="urn:schemas-microsoft-com:office:smarttags" w:element="metricconverter">
        <w:smartTagPr>
          <w:attr w:name="ProductID" w:val="155 км"/>
        </w:smartTagPr>
        <w:r>
          <w:t>155 км</w:t>
        </w:r>
      </w:smartTag>
      <w:r>
        <w:t xml:space="preserve"> от ближайшей железнодорожной станции.</w:t>
      </w:r>
    </w:p>
    <w:p w:rsidR="00055064" w:rsidRDefault="00055064">
      <w:pPr>
        <w:pStyle w:val="41"/>
        <w:framePr w:w="10445" w:h="6006" w:hRule="exact" w:wrap="none" w:vAnchor="page" w:hAnchor="page" w:x="745" w:y="1175"/>
        <w:shd w:val="clear" w:color="auto" w:fill="auto"/>
        <w:spacing w:before="0" w:after="56"/>
        <w:ind w:right="60"/>
      </w:pPr>
      <w:r>
        <w:t>Раздел 1. Показатели перспективного спроса на тепловую энергию (мощность) и теплоноситель в установленных границах территории поселения, городского округа.</w:t>
      </w:r>
    </w:p>
    <w:p w:rsidR="00055064" w:rsidRDefault="00055064">
      <w:pPr>
        <w:pStyle w:val="4"/>
        <w:framePr w:w="10445" w:h="6006" w:hRule="exact" w:wrap="none" w:vAnchor="page" w:hAnchor="page" w:x="745" w:y="1175"/>
        <w:shd w:val="clear" w:color="auto" w:fill="auto"/>
        <w:spacing w:after="274" w:line="317" w:lineRule="exact"/>
        <w:ind w:left="120" w:right="120" w:firstLine="320"/>
        <w:jc w:val="both"/>
      </w:pPr>
      <w:r>
        <w:t xml:space="preserve">Строительство новых тепловых сетей и подключение новых потребителей к существующим тепловым сетям на период с 2018 по </w:t>
      </w:r>
      <w:smartTag w:uri="urn:schemas-microsoft-com:office:smarttags" w:element="metricconverter">
        <w:smartTagPr>
          <w:attr w:name="ProductID" w:val="2032 г"/>
        </w:smartTagPr>
        <w:r>
          <w:t>2032 г</w:t>
        </w:r>
      </w:smartTag>
      <w:r>
        <w:t>.г. не планируется. Все изменения будут касаться лишь модернизации котельной и ремонта тепловых сетей.</w:t>
      </w:r>
    </w:p>
    <w:p w:rsidR="00055064" w:rsidRDefault="00055064">
      <w:pPr>
        <w:pStyle w:val="41"/>
        <w:framePr w:w="10445" w:h="6006" w:hRule="exact" w:wrap="none" w:vAnchor="page" w:hAnchor="page" w:x="745" w:y="1175"/>
        <w:shd w:val="clear" w:color="auto" w:fill="auto"/>
        <w:spacing w:before="0" w:after="143" w:line="200" w:lineRule="exact"/>
        <w:ind w:left="120" w:firstLine="320"/>
        <w:jc w:val="both"/>
      </w:pPr>
      <w:r>
        <w:t>Раздел 2. Перспективные балансы тепловой мощности источников тепловой энергии и</w:t>
      </w:r>
    </w:p>
    <w:p w:rsidR="00055064" w:rsidRDefault="00055064">
      <w:pPr>
        <w:pStyle w:val="41"/>
        <w:framePr w:w="10445" w:h="6006" w:hRule="exact" w:wrap="none" w:vAnchor="page" w:hAnchor="page" w:x="745" w:y="1175"/>
        <w:shd w:val="clear" w:color="auto" w:fill="auto"/>
        <w:spacing w:before="0" w:after="148" w:line="200" w:lineRule="exact"/>
        <w:ind w:right="60"/>
      </w:pPr>
      <w:r>
        <w:t>тепловой нагрузки потребителей.</w:t>
      </w:r>
    </w:p>
    <w:p w:rsidR="00055064" w:rsidRDefault="00055064">
      <w:pPr>
        <w:pStyle w:val="4"/>
        <w:framePr w:w="10445" w:h="6006" w:hRule="exact" w:wrap="none" w:vAnchor="page" w:hAnchor="page" w:x="745" w:y="1175"/>
        <w:shd w:val="clear" w:color="auto" w:fill="auto"/>
        <w:spacing w:after="0" w:line="200" w:lineRule="exact"/>
        <w:ind w:left="120" w:firstLine="320"/>
        <w:jc w:val="both"/>
      </w:pPr>
      <w:r>
        <w:t>Перспективные балансы тепловой мощности новой блочно-модульной котельной с. Согорное</w:t>
      </w:r>
    </w:p>
    <w:p w:rsidR="00055064" w:rsidRDefault="00055064">
      <w:pPr>
        <w:pStyle w:val="4"/>
        <w:framePr w:w="10445" w:h="245" w:hRule="exact" w:wrap="none" w:vAnchor="page" w:hAnchor="page" w:x="745" w:y="7225"/>
        <w:shd w:val="clear" w:color="auto" w:fill="auto"/>
        <w:spacing w:after="0" w:line="200" w:lineRule="exact"/>
        <w:ind w:left="120"/>
        <w:jc w:val="left"/>
      </w:pPr>
      <w:r>
        <w:t xml:space="preserve">представлены в </w:t>
      </w:r>
      <w:r>
        <w:rPr>
          <w:rStyle w:val="a4"/>
          <w:lang w:eastAsia="ru-RU"/>
        </w:rPr>
        <w:t>Таблице 2.1.</w:t>
      </w:r>
    </w:p>
    <w:p w:rsidR="00055064" w:rsidRDefault="00055064">
      <w:pPr>
        <w:pStyle w:val="a6"/>
        <w:framePr w:w="1051" w:h="229" w:hRule="exact" w:wrap="none" w:vAnchor="page" w:hAnchor="page" w:x="10004" w:y="7545"/>
        <w:shd w:val="clear" w:color="auto" w:fill="auto"/>
        <w:spacing w:line="200" w:lineRule="exact"/>
      </w:pPr>
      <w:r>
        <w:t>Таблица 2.1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26"/>
        <w:gridCol w:w="1603"/>
        <w:gridCol w:w="2035"/>
        <w:gridCol w:w="1666"/>
        <w:gridCol w:w="1445"/>
        <w:gridCol w:w="1560"/>
      </w:tblGrid>
      <w:tr w:rsidR="00055064">
        <w:trPr>
          <w:trHeight w:hRule="exact" w:val="13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Наимен. котельной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  <w:lang w:eastAsia="ru-RU"/>
              </w:rPr>
              <w:t>Уст.мощн.</w:t>
            </w:r>
          </w:p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  <w:lang w:eastAsia="ru-RU"/>
              </w:rPr>
              <w:t>котельной,</w:t>
            </w:r>
          </w:p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  <w:lang w:eastAsia="ru-RU"/>
              </w:rPr>
              <w:t>Гкал/час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  <w:lang w:eastAsia="ru-RU"/>
              </w:rPr>
              <w:t>Тепловая нагрузка потребителей, Гкал/час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26" w:lineRule="exact"/>
              <w:jc w:val="both"/>
            </w:pPr>
            <w:r>
              <w:rPr>
                <w:rStyle w:val="31"/>
                <w:lang w:eastAsia="ru-RU"/>
              </w:rPr>
              <w:t>Нагрузка на собств. нужды котельной, Гкал/час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26" w:lineRule="exact"/>
              <w:ind w:right="320"/>
              <w:jc w:val="right"/>
            </w:pPr>
            <w:r>
              <w:rPr>
                <w:rStyle w:val="31"/>
                <w:lang w:eastAsia="ru-RU"/>
              </w:rPr>
              <w:t>Средние тепловые потери в сетях, Гкал/час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26" w:lineRule="exact"/>
              <w:jc w:val="both"/>
            </w:pPr>
            <w:r>
              <w:rPr>
                <w:rStyle w:val="31"/>
                <w:lang w:eastAsia="ru-RU"/>
              </w:rPr>
              <w:t>Резерв (+), дефицит (-) тепловой мощности, Гкал/час</w:t>
            </w:r>
          </w:p>
        </w:tc>
      </w:tr>
      <w:tr w:rsidR="00055064">
        <w:trPr>
          <w:trHeight w:hRule="exact" w:val="5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120" w:line="200" w:lineRule="exact"/>
            </w:pPr>
            <w:r>
              <w:rPr>
                <w:rStyle w:val="31"/>
                <w:lang w:eastAsia="ru-RU"/>
              </w:rPr>
              <w:t>Блочно-модульная</w:t>
            </w:r>
          </w:p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before="120" w:after="0" w:line="200" w:lineRule="exact"/>
            </w:pPr>
            <w:r>
              <w:rPr>
                <w:rStyle w:val="31"/>
                <w:lang w:eastAsia="ru-RU"/>
              </w:rPr>
              <w:t>котельная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0,003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+0,027</w:t>
            </w:r>
          </w:p>
        </w:tc>
      </w:tr>
    </w:tbl>
    <w:p w:rsidR="00055064" w:rsidRDefault="00055064">
      <w:pPr>
        <w:pStyle w:val="24"/>
        <w:framePr w:w="10205" w:h="941" w:hRule="exact" w:wrap="none" w:vAnchor="page" w:hAnchor="page" w:x="870" w:y="10205"/>
        <w:shd w:val="clear" w:color="auto" w:fill="auto"/>
        <w:spacing w:after="64" w:line="200" w:lineRule="exact"/>
        <w:ind w:right="140"/>
      </w:pPr>
      <w:r>
        <w:t>Раздел 3. Перспективные балансы теплоносителя.</w:t>
      </w:r>
    </w:p>
    <w:p w:rsidR="00055064" w:rsidRDefault="00055064">
      <w:pPr>
        <w:pStyle w:val="a6"/>
        <w:framePr w:w="10205" w:h="941" w:hRule="exact" w:wrap="none" w:vAnchor="page" w:hAnchor="page" w:x="870" w:y="10205"/>
        <w:shd w:val="clear" w:color="auto" w:fill="auto"/>
        <w:spacing w:line="288" w:lineRule="exact"/>
        <w:ind w:firstLine="280"/>
      </w:pPr>
      <w:r>
        <w:t>Для обеспечения водоподготовки на котельной необходима водоподготовительная установка производительностью не менее 0,8 т/ч.</w:t>
      </w:r>
    </w:p>
    <w:p w:rsidR="00055064" w:rsidRDefault="00055064">
      <w:pPr>
        <w:pStyle w:val="41"/>
        <w:framePr w:w="10445" w:h="3775" w:hRule="exact" w:wrap="none" w:vAnchor="page" w:hAnchor="page" w:x="745" w:y="11970"/>
        <w:shd w:val="clear" w:color="auto" w:fill="auto"/>
        <w:spacing w:before="0" w:after="138" w:line="200" w:lineRule="exact"/>
        <w:ind w:right="60"/>
      </w:pPr>
      <w:r>
        <w:t>Раздел 4. Предложения по строительству, реконструкции и техническому перевооружению</w:t>
      </w:r>
    </w:p>
    <w:p w:rsidR="00055064" w:rsidRDefault="00055064">
      <w:pPr>
        <w:pStyle w:val="41"/>
        <w:framePr w:w="10445" w:h="3775" w:hRule="exact" w:wrap="none" w:vAnchor="page" w:hAnchor="page" w:x="745" w:y="11970"/>
        <w:shd w:val="clear" w:color="auto" w:fill="auto"/>
        <w:spacing w:before="0" w:after="50" w:line="200" w:lineRule="exact"/>
        <w:ind w:right="60"/>
      </w:pPr>
      <w:r>
        <w:t>источников тепловой энергии.</w:t>
      </w:r>
    </w:p>
    <w:p w:rsidR="00055064" w:rsidRDefault="00055064">
      <w:pPr>
        <w:pStyle w:val="4"/>
        <w:framePr w:w="10445" w:h="3775" w:hRule="exact" w:wrap="none" w:vAnchor="page" w:hAnchor="page" w:x="745" w:y="11970"/>
        <w:shd w:val="clear" w:color="auto" w:fill="auto"/>
        <w:spacing w:after="0" w:line="317" w:lineRule="exact"/>
        <w:ind w:left="120" w:right="120" w:firstLine="320"/>
        <w:jc w:val="both"/>
      </w:pPr>
      <w:r>
        <w:t>Согласно генеральному плану Согорнского сельсовета планируется ликвидация старой котельной и установка новой модульной котельной блочного типа мощностью 0,3 МВт. На новой котельной предполагается установить два энергоэффективных котла мощностью 0,15 МВт. Установка модульной котельной позволит сократить затраты и себестоимость производимой тепловой энергии. Снижение установленной мощности котельной позволит теплогенерирующему оборудованию работать в оптимальном режиме с наиболее высоким КПД. Помимо этого генеральный план предусматривает следующие мероприятия:</w:t>
      </w:r>
    </w:p>
    <w:p w:rsidR="00055064" w:rsidRDefault="00055064">
      <w:pPr>
        <w:pStyle w:val="4"/>
        <w:framePr w:w="10445" w:h="3775" w:hRule="exact" w:wrap="none" w:vAnchor="page" w:hAnchor="page" w:x="745" w:y="1197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88" w:lineRule="exact"/>
        <w:ind w:left="120" w:firstLine="320"/>
        <w:jc w:val="both"/>
      </w:pPr>
      <w:r>
        <w:t>установка приборов учета;</w:t>
      </w:r>
    </w:p>
    <w:p w:rsidR="00055064" w:rsidRDefault="00055064">
      <w:pPr>
        <w:pStyle w:val="4"/>
        <w:framePr w:w="10445" w:h="3775" w:hRule="exact" w:wrap="none" w:vAnchor="page" w:hAnchor="page" w:x="745" w:y="1197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88" w:lineRule="exact"/>
        <w:ind w:left="120" w:firstLine="320"/>
        <w:jc w:val="both"/>
      </w:pPr>
      <w:r>
        <w:t>прокладка газопровода и перевод котельной на газ;</w:t>
      </w:r>
    </w:p>
    <w:p w:rsidR="00055064" w:rsidRDefault="00055064">
      <w:pPr>
        <w:pStyle w:val="4"/>
        <w:framePr w:w="10445" w:h="3775" w:hRule="exact" w:wrap="none" w:vAnchor="page" w:hAnchor="page" w:x="745" w:y="1197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88" w:lineRule="exact"/>
        <w:ind w:left="120" w:firstLine="320"/>
        <w:jc w:val="both"/>
      </w:pPr>
      <w:r>
        <w:t>реконструкция тепловых сетей.</w:t>
      </w:r>
    </w:p>
    <w:p w:rsidR="00055064" w:rsidRDefault="00055064">
      <w:pPr>
        <w:pStyle w:val="a1"/>
        <w:framePr w:w="10267" w:h="229" w:hRule="exact" w:wrap="none" w:vAnchor="page" w:hAnchor="page" w:x="836" w:y="15843"/>
        <w:shd w:val="clear" w:color="auto" w:fill="auto"/>
        <w:spacing w:after="0" w:line="200" w:lineRule="exact"/>
        <w:ind w:right="60"/>
        <w:jc w:val="right"/>
      </w:pPr>
      <w:r>
        <w:t>5</w:t>
      </w:r>
    </w:p>
    <w:p w:rsidR="00055064" w:rsidRDefault="00055064">
      <w:pPr>
        <w:rPr>
          <w:sz w:val="2"/>
          <w:szCs w:val="2"/>
        </w:rPr>
        <w:sectPr w:rsidR="0005506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5064" w:rsidRDefault="00055064">
      <w:pPr>
        <w:pStyle w:val="41"/>
        <w:framePr w:w="10339" w:h="1966" w:hRule="exact" w:wrap="none" w:vAnchor="page" w:hAnchor="page" w:x="798" w:y="839"/>
        <w:shd w:val="clear" w:color="auto" w:fill="auto"/>
        <w:spacing w:before="0" w:after="110" w:line="200" w:lineRule="exact"/>
        <w:ind w:right="100"/>
      </w:pPr>
      <w:r>
        <w:t>Раздел 5. Предложения по строительству и реконструкции тепловых сетей.</w:t>
      </w:r>
    </w:p>
    <w:p w:rsidR="00055064" w:rsidRDefault="00055064">
      <w:pPr>
        <w:pStyle w:val="4"/>
        <w:framePr w:w="10339" w:h="1966" w:hRule="exact" w:wrap="none" w:vAnchor="page" w:hAnchor="page" w:x="798" w:y="839"/>
        <w:shd w:val="clear" w:color="auto" w:fill="auto"/>
        <w:spacing w:after="0" w:line="317" w:lineRule="exact"/>
        <w:ind w:left="120" w:right="20" w:firstLine="320"/>
        <w:jc w:val="both"/>
      </w:pPr>
      <w:r>
        <w:t xml:space="preserve">Согласно инвестиционной программе, модернизация тепловой сети предусматривает полную замену всех тепловых сетей котельной. Старые металлические трубы следует заменить на новые стальные в ППУ изоляции. Расчет объемов перекладываемых участков трубопроводов приведен в </w:t>
      </w:r>
      <w:r>
        <w:rPr>
          <w:rStyle w:val="a4"/>
          <w:lang w:eastAsia="ru-RU"/>
        </w:rPr>
        <w:t>Таблице 5.1.</w:t>
      </w:r>
      <w:r>
        <w:t>Замена ветхих тепловых сетей приведет к уменьшению теплопотерь, снижению количества аварий и снижению расходов на ремонт теплосети.</w:t>
      </w:r>
    </w:p>
    <w:p w:rsidR="00055064" w:rsidRDefault="00055064">
      <w:pPr>
        <w:pStyle w:val="a6"/>
        <w:framePr w:wrap="none" w:vAnchor="page" w:hAnchor="page" w:x="10009" w:y="2807"/>
        <w:shd w:val="clear" w:color="auto" w:fill="auto"/>
        <w:spacing w:line="200" w:lineRule="exact"/>
      </w:pPr>
      <w:r>
        <w:t>Таблица 5.1.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57"/>
        <w:gridCol w:w="4973"/>
      </w:tblGrid>
      <w:tr w:rsidR="00055064">
        <w:trPr>
          <w:trHeight w:hRule="exact" w:val="245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Длина участка, м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Диаметр, м</w:t>
            </w:r>
          </w:p>
        </w:tc>
      </w:tr>
      <w:tr w:rsidR="00055064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122,6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0,2</w:t>
            </w:r>
          </w:p>
        </w:tc>
      </w:tr>
      <w:tr w:rsidR="00055064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231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0,15</w:t>
            </w:r>
          </w:p>
        </w:tc>
      </w:tr>
      <w:tr w:rsidR="00055064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192,5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0,125</w:t>
            </w:r>
          </w:p>
        </w:tc>
      </w:tr>
      <w:tr w:rsidR="00055064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45,5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0,1</w:t>
            </w:r>
          </w:p>
        </w:tc>
      </w:tr>
      <w:tr w:rsidR="00055064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343,4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0,08</w:t>
            </w:r>
          </w:p>
        </w:tc>
      </w:tr>
      <w:tr w:rsidR="00055064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325,7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0,07</w:t>
            </w:r>
          </w:p>
        </w:tc>
      </w:tr>
      <w:tr w:rsidR="00055064">
        <w:trPr>
          <w:trHeight w:hRule="exact" w:val="25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541,8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0,05</w:t>
            </w:r>
          </w:p>
        </w:tc>
      </w:tr>
    </w:tbl>
    <w:p w:rsidR="00055064" w:rsidRDefault="00055064">
      <w:pPr>
        <w:pStyle w:val="24"/>
        <w:framePr w:wrap="none" w:vAnchor="page" w:hAnchor="page" w:x="3486" w:y="5271"/>
        <w:shd w:val="clear" w:color="auto" w:fill="auto"/>
        <w:spacing w:after="0" w:line="200" w:lineRule="exact"/>
        <w:jc w:val="left"/>
      </w:pPr>
      <w:r>
        <w:t>Раздел 6. Перспективные топливные балансы.</w:t>
      </w:r>
    </w:p>
    <w:p w:rsidR="00055064" w:rsidRDefault="00055064">
      <w:pPr>
        <w:pStyle w:val="a6"/>
        <w:framePr w:w="10186" w:h="1031" w:hRule="exact" w:wrap="none" w:vAnchor="page" w:hAnchor="page" w:x="927" w:y="5599"/>
        <w:shd w:val="clear" w:color="auto" w:fill="auto"/>
        <w:spacing w:line="317" w:lineRule="exact"/>
        <w:jc w:val="center"/>
      </w:pPr>
      <w:r>
        <w:t xml:space="preserve">Установка новой блочно-модульной котельной с энергоэффективными котлами позволит понизить объем сжигаемого топлива. Сравнение данных показателей приведено в </w:t>
      </w:r>
      <w:r>
        <w:rPr>
          <w:rStyle w:val="a7"/>
          <w:lang w:eastAsia="ru-RU"/>
        </w:rPr>
        <w:t>Таблице 6.1.</w:t>
      </w:r>
    </w:p>
    <w:p w:rsidR="00055064" w:rsidRDefault="00055064">
      <w:pPr>
        <w:pStyle w:val="a6"/>
        <w:framePr w:w="10186" w:h="1031" w:hRule="exact" w:wrap="none" w:vAnchor="page" w:hAnchor="page" w:x="927" w:y="5599"/>
        <w:shd w:val="clear" w:color="auto" w:fill="auto"/>
        <w:spacing w:line="200" w:lineRule="exact"/>
        <w:jc w:val="right"/>
      </w:pPr>
      <w:r>
        <w:t>Таблица 6.1.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403"/>
        <w:gridCol w:w="3403"/>
        <w:gridCol w:w="3408"/>
      </w:tblGrid>
      <w:tr w:rsidR="00055064">
        <w:trPr>
          <w:trHeight w:hRule="exact"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Объем сжигаемого угля за год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26" w:lineRule="exact"/>
              <w:ind w:left="500"/>
              <w:jc w:val="left"/>
            </w:pPr>
            <w:r>
              <w:rPr>
                <w:rStyle w:val="31"/>
                <w:lang w:eastAsia="ru-RU"/>
              </w:rPr>
              <w:t>Объем сжигаемого газа в энергоэффективных котлах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26" w:lineRule="exact"/>
              <w:ind w:left="500"/>
              <w:jc w:val="left"/>
            </w:pPr>
            <w:r>
              <w:rPr>
                <w:rStyle w:val="31"/>
                <w:lang w:eastAsia="ru-RU"/>
              </w:rPr>
              <w:t>Объем сжигаемого газа в энергоэффективных котлах</w:t>
            </w:r>
          </w:p>
        </w:tc>
      </w:tr>
      <w:tr w:rsidR="00055064">
        <w:trPr>
          <w:trHeight w:hRule="exact"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т.у.т.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т.у.т.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тыс. литров.</w:t>
            </w:r>
          </w:p>
        </w:tc>
      </w:tr>
      <w:tr w:rsidR="00055064">
        <w:trPr>
          <w:trHeight w:hRule="exact" w:val="2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760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590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450</w:t>
            </w:r>
          </w:p>
        </w:tc>
      </w:tr>
    </w:tbl>
    <w:p w:rsidR="00055064" w:rsidRDefault="00055064">
      <w:pPr>
        <w:pStyle w:val="a6"/>
        <w:framePr w:wrap="none" w:vAnchor="page" w:hAnchor="page" w:x="980" w:y="7647"/>
        <w:shd w:val="clear" w:color="auto" w:fill="auto"/>
        <w:spacing w:line="200" w:lineRule="exact"/>
      </w:pPr>
      <w:r>
        <w:t>После замены котлов расход топлива уменьшится на 30%.</w:t>
      </w:r>
    </w:p>
    <w:p w:rsidR="00055064" w:rsidRDefault="00055064">
      <w:pPr>
        <w:pStyle w:val="41"/>
        <w:framePr w:w="10339" w:h="2285" w:hRule="exact" w:wrap="none" w:vAnchor="page" w:hAnchor="page" w:x="798" w:y="8213"/>
        <w:shd w:val="clear" w:color="auto" w:fill="auto"/>
        <w:spacing w:before="0" w:after="115" w:line="200" w:lineRule="exact"/>
        <w:ind w:left="120" w:firstLine="320"/>
        <w:jc w:val="both"/>
      </w:pPr>
      <w:r>
        <w:t>Раздел 7. Инвестиции в строительство, реконструкцию и техническое перевооружение.</w:t>
      </w:r>
    </w:p>
    <w:p w:rsidR="00055064" w:rsidRDefault="00055064">
      <w:pPr>
        <w:pStyle w:val="4"/>
        <w:framePr w:w="10339" w:h="2285" w:hRule="exact" w:wrap="none" w:vAnchor="page" w:hAnchor="page" w:x="798" w:y="8213"/>
        <w:shd w:val="clear" w:color="auto" w:fill="auto"/>
        <w:spacing w:after="0" w:line="317" w:lineRule="exact"/>
        <w:ind w:left="120" w:right="20" w:firstLine="320"/>
        <w:jc w:val="both"/>
      </w:pPr>
      <w:r>
        <w:t xml:space="preserve">Основные объемы затрат на реконструкцию системы теплоснабжения с. Согорное приведены в </w:t>
      </w:r>
      <w:r>
        <w:rPr>
          <w:rStyle w:val="a4"/>
          <w:lang w:eastAsia="ru-RU"/>
        </w:rPr>
        <w:t xml:space="preserve">Таблице 7.1. </w:t>
      </w:r>
      <w:r>
        <w:t>Инвестиции следует осуществлять в соответствии с Федеральным программами энергосбережения и областными целевыми программами реформирования жилищно</w:t>
      </w:r>
      <w:r>
        <w:softHyphen/>
        <w:t>коммунального комплекса. Для оценки стоимости строительства блочно-модульных котельных были взяты средние по рынку России цены строительства БМК. В представленной таблице стоимости учтено строительство под ключ БМК с учетом НДС и года строительства объекта.</w:t>
      </w:r>
    </w:p>
    <w:p w:rsidR="00055064" w:rsidRDefault="00055064">
      <w:pPr>
        <w:pStyle w:val="a6"/>
        <w:framePr w:wrap="none" w:vAnchor="page" w:hAnchor="page" w:x="10057" w:y="11247"/>
        <w:shd w:val="clear" w:color="auto" w:fill="auto"/>
        <w:spacing w:line="200" w:lineRule="exact"/>
      </w:pPr>
      <w:r>
        <w:t>Таблица 7.1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878"/>
        <w:gridCol w:w="1574"/>
        <w:gridCol w:w="1570"/>
        <w:gridCol w:w="1574"/>
        <w:gridCol w:w="1579"/>
      </w:tblGrid>
      <w:tr w:rsidR="00055064">
        <w:trPr>
          <w:trHeight w:hRule="exact" w:val="192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69" w:lineRule="exact"/>
            </w:pPr>
            <w:r>
              <w:rPr>
                <w:rStyle w:val="31"/>
                <w:lang w:eastAsia="ru-RU"/>
              </w:rPr>
              <w:t>Наименование инвестиционных проектов, объектов и работ по объекту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Ед. изм.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120" w:line="200" w:lineRule="exact"/>
            </w:pPr>
            <w:r>
              <w:rPr>
                <w:rStyle w:val="31"/>
                <w:lang w:eastAsia="ru-RU"/>
              </w:rPr>
              <w:t>Вводимая</w:t>
            </w:r>
          </w:p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before="120" w:after="0" w:line="200" w:lineRule="exact"/>
            </w:pPr>
            <w:r>
              <w:rPr>
                <w:rStyle w:val="31"/>
                <w:lang w:eastAsia="ru-RU"/>
              </w:rPr>
              <w:t>мощность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Годы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69" w:lineRule="exact"/>
              <w:jc w:val="both"/>
            </w:pPr>
            <w:r>
              <w:rPr>
                <w:rStyle w:val="31"/>
                <w:lang w:eastAsia="ru-RU"/>
              </w:rPr>
              <w:t>Сметная стоим. с НДС (млн. руб.)</w:t>
            </w:r>
          </w:p>
        </w:tc>
      </w:tr>
      <w:tr w:rsidR="00055064">
        <w:trPr>
          <w:trHeight w:hRule="exact" w:val="27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Установка модульной котельной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МВт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0,3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2025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12</w:t>
            </w:r>
          </w:p>
        </w:tc>
      </w:tr>
      <w:tr w:rsidR="00055064">
        <w:trPr>
          <w:trHeight w:hRule="exact" w:val="278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Модернизация тепловой сети в с. Согорное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593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2020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44,7</w:t>
            </w:r>
          </w:p>
        </w:tc>
      </w:tr>
      <w:tr w:rsidR="00055064">
        <w:trPr>
          <w:trHeight w:hRule="exact" w:val="1051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64" w:lineRule="exact"/>
            </w:pPr>
            <w:r>
              <w:rPr>
                <w:rStyle w:val="31"/>
                <w:lang w:eastAsia="ru-RU"/>
              </w:rPr>
              <w:t>Потребность в финансовых средствах, 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064" w:rsidRDefault="00055064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  <w:lang w:eastAsia="ru-RU"/>
              </w:rPr>
              <w:t>56,7</w:t>
            </w:r>
          </w:p>
        </w:tc>
      </w:tr>
    </w:tbl>
    <w:p w:rsidR="00055064" w:rsidRDefault="00055064">
      <w:pPr>
        <w:pStyle w:val="a1"/>
        <w:framePr w:wrap="none" w:vAnchor="page" w:hAnchor="page" w:x="10983" w:y="15843"/>
        <w:shd w:val="clear" w:color="auto" w:fill="auto"/>
        <w:spacing w:after="0" w:line="200" w:lineRule="exact"/>
        <w:ind w:left="20"/>
        <w:jc w:val="left"/>
      </w:pPr>
      <w:r>
        <w:t>6</w:t>
      </w:r>
    </w:p>
    <w:p w:rsidR="00055064" w:rsidRDefault="00055064">
      <w:pPr>
        <w:rPr>
          <w:sz w:val="2"/>
          <w:szCs w:val="2"/>
        </w:rPr>
        <w:sectPr w:rsidR="0005506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5064" w:rsidRDefault="00055064">
      <w:pPr>
        <w:pStyle w:val="41"/>
        <w:framePr w:w="10435" w:h="4568" w:hRule="exact" w:wrap="none" w:vAnchor="page" w:hAnchor="page" w:x="750" w:y="836"/>
        <w:shd w:val="clear" w:color="auto" w:fill="auto"/>
        <w:spacing w:before="0" w:after="89" w:line="200" w:lineRule="exact"/>
        <w:ind w:left="220"/>
      </w:pPr>
      <w:r>
        <w:t>Раздел 8. Решение об определении единой теплоснабжающей организации.</w:t>
      </w:r>
    </w:p>
    <w:p w:rsidR="00055064" w:rsidRDefault="00055064">
      <w:pPr>
        <w:pStyle w:val="4"/>
        <w:framePr w:w="10435" w:h="4568" w:hRule="exact" w:wrap="none" w:vAnchor="page" w:hAnchor="page" w:x="750" w:y="836"/>
        <w:shd w:val="clear" w:color="auto" w:fill="auto"/>
        <w:spacing w:after="539" w:line="274" w:lineRule="exact"/>
        <w:ind w:right="280" w:firstLine="340"/>
        <w:jc w:val="both"/>
      </w:pPr>
      <w:r>
        <w:t>В качестве единой теплоснабжающей организации, действующей на территории с.Согорное, предлагается МУП П/Х «Согорнское». Данная организацияявляется единственной теплоснабжающей организацией на территории села.</w:t>
      </w:r>
    </w:p>
    <w:p w:rsidR="00055064" w:rsidRDefault="00055064">
      <w:pPr>
        <w:pStyle w:val="41"/>
        <w:framePr w:w="10435" w:h="4568" w:hRule="exact" w:wrap="none" w:vAnchor="page" w:hAnchor="page" w:x="750" w:y="836"/>
        <w:shd w:val="clear" w:color="auto" w:fill="auto"/>
        <w:spacing w:before="0" w:after="90" w:line="200" w:lineRule="exact"/>
        <w:ind w:firstLine="340"/>
        <w:jc w:val="both"/>
      </w:pPr>
      <w:r>
        <w:t>Раздел 9. Решения о распределении тепловой нагрузки между источниками тепловой</w:t>
      </w:r>
    </w:p>
    <w:p w:rsidR="00055064" w:rsidRDefault="00055064">
      <w:pPr>
        <w:pStyle w:val="41"/>
        <w:framePr w:w="10435" w:h="4568" w:hRule="exact" w:wrap="none" w:vAnchor="page" w:hAnchor="page" w:x="750" w:y="836"/>
        <w:shd w:val="clear" w:color="auto" w:fill="auto"/>
        <w:spacing w:before="0" w:line="200" w:lineRule="exact"/>
        <w:ind w:left="220"/>
      </w:pPr>
      <w:r>
        <w:t>энергии.</w:t>
      </w:r>
    </w:p>
    <w:p w:rsidR="00055064" w:rsidRDefault="00055064">
      <w:pPr>
        <w:pStyle w:val="4"/>
        <w:framePr w:w="10435" w:h="4568" w:hRule="exact" w:wrap="none" w:vAnchor="page" w:hAnchor="page" w:x="750" w:y="836"/>
        <w:shd w:val="clear" w:color="auto" w:fill="auto"/>
        <w:spacing w:after="254" w:line="293" w:lineRule="exact"/>
        <w:ind w:right="280" w:firstLine="340"/>
        <w:jc w:val="left"/>
      </w:pPr>
      <w:r>
        <w:t>В с.Согорное действует один источник тепловой энергии, который обеспечивает теплом группу зданий: жилые дома, дом культуры, школу, администрацию и др. Строительство новых источников не предполагается.</w:t>
      </w:r>
    </w:p>
    <w:p w:rsidR="00055064" w:rsidRDefault="00055064">
      <w:pPr>
        <w:pStyle w:val="41"/>
        <w:framePr w:w="10435" w:h="4568" w:hRule="exact" w:wrap="none" w:vAnchor="page" w:hAnchor="page" w:x="750" w:y="836"/>
        <w:shd w:val="clear" w:color="auto" w:fill="auto"/>
        <w:spacing w:before="0" w:after="91" w:line="200" w:lineRule="exact"/>
        <w:ind w:left="220"/>
      </w:pPr>
      <w:r>
        <w:t>Раздел 10. Решения по бесхозяйным тепловым сетям.</w:t>
      </w:r>
    </w:p>
    <w:p w:rsidR="00055064" w:rsidRDefault="00055064">
      <w:pPr>
        <w:pStyle w:val="4"/>
        <w:framePr w:w="10435" w:h="4568" w:hRule="exact" w:wrap="none" w:vAnchor="page" w:hAnchor="page" w:x="750" w:y="836"/>
        <w:shd w:val="clear" w:color="auto" w:fill="auto"/>
        <w:spacing w:after="0" w:line="254" w:lineRule="exact"/>
        <w:ind w:right="620"/>
        <w:jc w:val="left"/>
      </w:pPr>
      <w:r>
        <w:t>В с.Согорное отсутствуют участки тепловых сетей, не находящиеся на балансовой принадлежности. Все тепловые сети находятся на балансе МУП П/Х «Согорнское».</w:t>
      </w:r>
    </w:p>
    <w:p w:rsidR="00055064" w:rsidRDefault="00055064">
      <w:pPr>
        <w:pStyle w:val="a1"/>
        <w:framePr w:wrap="none" w:vAnchor="page" w:hAnchor="page" w:x="10820" w:y="15843"/>
        <w:shd w:val="clear" w:color="auto" w:fill="auto"/>
        <w:spacing w:after="0" w:line="200" w:lineRule="exact"/>
        <w:ind w:left="20"/>
        <w:jc w:val="left"/>
      </w:pPr>
      <w:r>
        <w:t>7</w:t>
      </w:r>
    </w:p>
    <w:p w:rsidR="00055064" w:rsidRDefault="00055064">
      <w:pPr>
        <w:rPr>
          <w:sz w:val="2"/>
          <w:szCs w:val="2"/>
        </w:rPr>
      </w:pPr>
    </w:p>
    <w:sectPr w:rsidR="00055064" w:rsidSect="00C3601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64" w:rsidRDefault="00055064">
      <w:r>
        <w:separator/>
      </w:r>
    </w:p>
  </w:endnote>
  <w:endnote w:type="continuationSeparator" w:id="0">
    <w:p w:rsidR="00055064" w:rsidRDefault="00055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64" w:rsidRDefault="00055064"/>
  </w:footnote>
  <w:footnote w:type="continuationSeparator" w:id="0">
    <w:p w:rsidR="00055064" w:rsidRDefault="000550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10FE"/>
    <w:multiLevelType w:val="multilevel"/>
    <w:tmpl w:val="2E1AF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BE43EA7"/>
    <w:multiLevelType w:val="multilevel"/>
    <w:tmpl w:val="955432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2B3"/>
    <w:rsid w:val="00055064"/>
    <w:rsid w:val="003E085A"/>
    <w:rsid w:val="004077DA"/>
    <w:rsid w:val="004B02B3"/>
    <w:rsid w:val="005D77DF"/>
    <w:rsid w:val="0073397A"/>
    <w:rsid w:val="00915D19"/>
    <w:rsid w:val="009B7044"/>
    <w:rsid w:val="00AC5722"/>
    <w:rsid w:val="00C025E5"/>
    <w:rsid w:val="00C36017"/>
    <w:rsid w:val="00DA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1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6017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C36017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1">
    <w:name w:val="Основной текст1"/>
    <w:basedOn w:val="a"/>
    <w:uiPriority w:val="99"/>
    <w:rsid w:val="00C36017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C36017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0">
    <w:name w:val="Основной текст (2)"/>
    <w:basedOn w:val="2"/>
    <w:uiPriority w:val="99"/>
    <w:rsid w:val="00C36017"/>
    <w:rPr>
      <w:color w:val="000000"/>
      <w:spacing w:val="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a1"/>
    <w:uiPriority w:val="99"/>
    <w:locked/>
    <w:rsid w:val="00C36017"/>
    <w:rPr>
      <w:rFonts w:ascii="Times New Roman" w:hAnsi="Times New Roman" w:cs="Times New Roman"/>
      <w:sz w:val="20"/>
      <w:szCs w:val="20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36017"/>
    <w:rPr>
      <w:rFonts w:ascii="Times New Roman" w:hAnsi="Times New Roman" w:cs="Times New Roman"/>
      <w:spacing w:val="1"/>
      <w:sz w:val="15"/>
      <w:szCs w:val="15"/>
      <w:u w:val="none"/>
    </w:rPr>
  </w:style>
  <w:style w:type="character" w:customStyle="1" w:styleId="22">
    <w:name w:val="Основной текст2"/>
    <w:basedOn w:val="a"/>
    <w:uiPriority w:val="99"/>
    <w:rsid w:val="00C36017"/>
    <w:rPr>
      <w:color w:val="000000"/>
      <w:w w:val="100"/>
      <w:position w:val="0"/>
      <w:u w:val="single"/>
      <w:lang w:val="ru-RU"/>
    </w:rPr>
  </w:style>
  <w:style w:type="character" w:customStyle="1" w:styleId="a2">
    <w:name w:val="Оглавление_"/>
    <w:basedOn w:val="DefaultParagraphFont"/>
    <w:link w:val="a3"/>
    <w:uiPriority w:val="99"/>
    <w:locked/>
    <w:rsid w:val="00C36017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C36017"/>
    <w:rPr>
      <w:rFonts w:ascii="Times New Roman" w:hAnsi="Times New Roman" w:cs="Times New Roman"/>
      <w:b/>
      <w:bCs/>
      <w:spacing w:val="4"/>
      <w:sz w:val="20"/>
      <w:szCs w:val="20"/>
      <w:u w:val="none"/>
    </w:rPr>
  </w:style>
  <w:style w:type="character" w:customStyle="1" w:styleId="a4">
    <w:name w:val="Основной текст + Полужирный"/>
    <w:aliases w:val="Интервал 0 pt"/>
    <w:basedOn w:val="a"/>
    <w:uiPriority w:val="99"/>
    <w:rsid w:val="00C36017"/>
    <w:rPr>
      <w:b/>
      <w:bCs/>
      <w:color w:val="000000"/>
      <w:spacing w:val="4"/>
      <w:w w:val="100"/>
      <w:position w:val="0"/>
      <w:lang w:val="ru-RU"/>
    </w:rPr>
  </w:style>
  <w:style w:type="character" w:customStyle="1" w:styleId="a5">
    <w:name w:val="Подпись к таблице_"/>
    <w:basedOn w:val="DefaultParagraphFont"/>
    <w:link w:val="a6"/>
    <w:uiPriority w:val="99"/>
    <w:locked/>
    <w:rsid w:val="00C36017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1">
    <w:name w:val="Основной текст3"/>
    <w:basedOn w:val="a"/>
    <w:uiPriority w:val="99"/>
    <w:rsid w:val="00C36017"/>
    <w:rPr>
      <w:color w:val="000000"/>
      <w:w w:val="100"/>
      <w:position w:val="0"/>
      <w:lang w:val="ru-RU"/>
    </w:rPr>
  </w:style>
  <w:style w:type="character" w:customStyle="1" w:styleId="23">
    <w:name w:val="Подпись к таблице (2)_"/>
    <w:basedOn w:val="DefaultParagraphFont"/>
    <w:link w:val="24"/>
    <w:uiPriority w:val="99"/>
    <w:locked/>
    <w:rsid w:val="00C36017"/>
    <w:rPr>
      <w:rFonts w:ascii="Times New Roman" w:hAnsi="Times New Roman" w:cs="Times New Roman"/>
      <w:b/>
      <w:bCs/>
      <w:spacing w:val="4"/>
      <w:sz w:val="20"/>
      <w:szCs w:val="20"/>
      <w:u w:val="none"/>
    </w:rPr>
  </w:style>
  <w:style w:type="character" w:customStyle="1" w:styleId="a7">
    <w:name w:val="Подпись к таблице + Полужирный"/>
    <w:aliases w:val="Интервал 0 pt1"/>
    <w:basedOn w:val="a5"/>
    <w:uiPriority w:val="99"/>
    <w:rsid w:val="00C36017"/>
    <w:rPr>
      <w:b/>
      <w:bCs/>
      <w:color w:val="000000"/>
      <w:spacing w:val="4"/>
      <w:w w:val="100"/>
      <w:position w:val="0"/>
      <w:lang w:val="ru-RU"/>
    </w:rPr>
  </w:style>
  <w:style w:type="paragraph" w:customStyle="1" w:styleId="4">
    <w:name w:val="Основной текст4"/>
    <w:basedOn w:val="Normal"/>
    <w:link w:val="a"/>
    <w:uiPriority w:val="99"/>
    <w:rsid w:val="00C36017"/>
    <w:pPr>
      <w:shd w:val="clear" w:color="auto" w:fill="FFFFFF"/>
      <w:spacing w:after="4440" w:line="250" w:lineRule="exac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21">
    <w:name w:val="Основной текст (2)1"/>
    <w:basedOn w:val="Normal"/>
    <w:link w:val="2"/>
    <w:uiPriority w:val="99"/>
    <w:rsid w:val="00C36017"/>
    <w:pPr>
      <w:shd w:val="clear" w:color="auto" w:fill="FFFFFF"/>
      <w:spacing w:before="4440" w:after="90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1">
    <w:name w:val="Колонтитул"/>
    <w:basedOn w:val="Normal"/>
    <w:link w:val="a0"/>
    <w:uiPriority w:val="99"/>
    <w:rsid w:val="00C36017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C36017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3">
    <w:name w:val="Оглавление"/>
    <w:basedOn w:val="Normal"/>
    <w:link w:val="a2"/>
    <w:uiPriority w:val="99"/>
    <w:rsid w:val="00C36017"/>
    <w:pPr>
      <w:shd w:val="clear" w:color="auto" w:fill="FFFFFF"/>
      <w:spacing w:before="60" w:after="180" w:line="240" w:lineRule="atLeas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41">
    <w:name w:val="Основной текст (4)"/>
    <w:basedOn w:val="Normal"/>
    <w:link w:val="40"/>
    <w:uiPriority w:val="99"/>
    <w:rsid w:val="00C36017"/>
    <w:pPr>
      <w:shd w:val="clear" w:color="auto" w:fill="FFFFFF"/>
      <w:spacing w:before="180" w:after="60" w:line="312" w:lineRule="exac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a6">
    <w:name w:val="Подпись к таблице"/>
    <w:basedOn w:val="Normal"/>
    <w:link w:val="a5"/>
    <w:uiPriority w:val="99"/>
    <w:rsid w:val="00C3601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24">
    <w:name w:val="Подпись к таблице (2)"/>
    <w:basedOn w:val="Normal"/>
    <w:link w:val="23"/>
    <w:uiPriority w:val="99"/>
    <w:rsid w:val="00C36017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044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basedOn w:val="DefaultParagraphFont"/>
    <w:link w:val="Title"/>
    <w:uiPriority w:val="99"/>
    <w:locked/>
    <w:rsid w:val="005D77DF"/>
    <w:rPr>
      <w:rFonts w:ascii="Cambria" w:hAnsi="Cambria" w:cs="Times New Roman"/>
      <w:color w:val="17365D"/>
      <w:spacing w:val="5"/>
      <w:kern w:val="28"/>
      <w:sz w:val="52"/>
      <w:szCs w:val="52"/>
      <w:lang w:val="ru-RU" w:eastAsia="en-US" w:bidi="ar-SA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5D77DF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429B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7</Pages>
  <Words>1176</Words>
  <Characters>6706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УЧ Согорное.docx</dc:title>
  <dc:subject/>
  <dc:creator>odmin</dc:creator>
  <cp:keywords/>
  <dc:description/>
  <cp:lastModifiedBy>Согорное</cp:lastModifiedBy>
  <cp:revision>3</cp:revision>
  <dcterms:created xsi:type="dcterms:W3CDTF">2018-02-28T07:40:00Z</dcterms:created>
  <dcterms:modified xsi:type="dcterms:W3CDTF">2018-03-13T05:02:00Z</dcterms:modified>
</cp:coreProperties>
</file>